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FD2E45">
      <w:pPr>
        <w:pStyle w:val="4"/>
        <w:spacing w:before="0" w:beforeAutospacing="0" w:after="0" w:afterAutospacing="0" w:line="360" w:lineRule="auto"/>
        <w:jc w:val="center"/>
        <w:rPr>
          <w:rFonts w:hint="eastAsia" w:ascii="仿宋" w:hAnsi="仿宋" w:eastAsia="仿宋" w:cs="Tahoma"/>
          <w:b/>
          <w:color w:val="000000"/>
          <w:sz w:val="44"/>
          <w:szCs w:val="44"/>
          <w:lang w:eastAsia="zh-CN"/>
        </w:rPr>
      </w:pPr>
      <w:r>
        <w:rPr>
          <w:rFonts w:hint="eastAsia" w:ascii="仿宋" w:hAnsi="仿宋" w:eastAsia="仿宋" w:cs="Tahoma"/>
          <w:b/>
          <w:color w:val="000000"/>
          <w:sz w:val="44"/>
          <w:szCs w:val="44"/>
        </w:rPr>
        <w:t>山东省组织再生</w:t>
      </w:r>
      <w:r>
        <w:rPr>
          <w:rFonts w:hint="eastAsia" w:ascii="仿宋" w:hAnsi="仿宋" w:eastAsia="仿宋" w:cs="Tahoma"/>
          <w:b/>
          <w:color w:val="000000"/>
          <w:sz w:val="44"/>
          <w:szCs w:val="44"/>
          <w:lang w:val="en-US" w:eastAsia="zh-CN"/>
        </w:rPr>
        <w:t>与修复重建</w:t>
      </w:r>
      <w:r>
        <w:rPr>
          <w:rFonts w:hint="eastAsia" w:ascii="仿宋" w:hAnsi="仿宋" w:eastAsia="仿宋" w:cs="Tahoma"/>
          <w:b/>
          <w:color w:val="000000"/>
          <w:sz w:val="44"/>
          <w:szCs w:val="44"/>
        </w:rPr>
        <w:t>重点实验室</w:t>
      </w:r>
      <w:r>
        <w:rPr>
          <w:rFonts w:hint="eastAsia" w:ascii="仿宋" w:hAnsi="仿宋" w:eastAsia="仿宋" w:cs="Tahoma"/>
          <w:b/>
          <w:color w:val="000000"/>
          <w:sz w:val="44"/>
          <w:szCs w:val="44"/>
          <w:lang w:eastAsia="zh-CN"/>
        </w:rPr>
        <w:t>（</w:t>
      </w:r>
      <w:r>
        <w:rPr>
          <w:rFonts w:hint="eastAsia" w:ascii="仿宋" w:hAnsi="仿宋" w:eastAsia="仿宋" w:cs="Tahoma"/>
          <w:b/>
          <w:color w:val="000000"/>
          <w:sz w:val="44"/>
          <w:szCs w:val="44"/>
          <w:lang w:val="en-US" w:eastAsia="zh-CN"/>
        </w:rPr>
        <w:t>筹</w:t>
      </w:r>
      <w:r>
        <w:rPr>
          <w:rFonts w:hint="eastAsia" w:ascii="仿宋" w:hAnsi="仿宋" w:eastAsia="仿宋" w:cs="Tahoma"/>
          <w:b/>
          <w:color w:val="000000"/>
          <w:sz w:val="44"/>
          <w:szCs w:val="44"/>
          <w:lang w:eastAsia="zh-CN"/>
        </w:rPr>
        <w:t>）</w:t>
      </w:r>
    </w:p>
    <w:p w14:paraId="0E11099A">
      <w:pPr>
        <w:pStyle w:val="4"/>
        <w:spacing w:before="0" w:beforeAutospacing="0" w:after="0" w:afterAutospacing="0" w:line="360" w:lineRule="auto"/>
        <w:jc w:val="center"/>
        <w:rPr>
          <w:rFonts w:ascii="仿宋" w:hAnsi="仿宋" w:eastAsia="仿宋" w:cs="Tahoma"/>
          <w:b/>
          <w:color w:val="000000"/>
          <w:sz w:val="44"/>
          <w:szCs w:val="44"/>
        </w:rPr>
      </w:pPr>
      <w:r>
        <w:rPr>
          <w:rFonts w:hint="eastAsia" w:ascii="仿宋" w:hAnsi="仿宋" w:eastAsia="仿宋" w:cs="Tahoma"/>
          <w:b/>
          <w:color w:val="000000"/>
          <w:sz w:val="44"/>
          <w:szCs w:val="44"/>
        </w:rPr>
        <w:t>开放课题规章</w:t>
      </w:r>
    </w:p>
    <w:p w14:paraId="54925041">
      <w:pPr>
        <w:pStyle w:val="4"/>
        <w:spacing w:before="0" w:beforeAutospacing="0" w:after="0" w:afterAutospacing="0" w:line="360" w:lineRule="auto"/>
        <w:rPr>
          <w:rFonts w:hint="eastAsia" w:ascii="仿宋" w:hAnsi="仿宋" w:eastAsia="仿宋" w:cs="Tahoma"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 w:cs="Tahoma"/>
          <w:color w:val="000000"/>
          <w:sz w:val="28"/>
          <w:szCs w:val="28"/>
        </w:rPr>
        <w:t>甲方：山东省组织再生</w:t>
      </w:r>
      <w:r>
        <w:rPr>
          <w:rFonts w:hint="eastAsia" w:ascii="仿宋" w:hAnsi="仿宋" w:eastAsia="仿宋" w:cs="Tahoma"/>
          <w:color w:val="000000"/>
          <w:sz w:val="28"/>
          <w:szCs w:val="28"/>
          <w:lang w:val="en-US" w:eastAsia="zh-CN"/>
        </w:rPr>
        <w:t>与修复重建</w:t>
      </w:r>
      <w:r>
        <w:rPr>
          <w:rFonts w:hint="eastAsia" w:ascii="仿宋" w:hAnsi="仿宋" w:eastAsia="仿宋" w:cs="Tahoma"/>
          <w:color w:val="000000"/>
          <w:sz w:val="28"/>
          <w:szCs w:val="28"/>
        </w:rPr>
        <w:t>重点实验室</w:t>
      </w:r>
      <w:r>
        <w:rPr>
          <w:rFonts w:hint="eastAsia" w:ascii="仿宋" w:hAnsi="仿宋" w:eastAsia="仿宋" w:cs="Tahoma"/>
          <w:color w:val="000000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Tahoma"/>
          <w:color w:val="000000"/>
          <w:sz w:val="28"/>
          <w:szCs w:val="28"/>
          <w:lang w:val="en-US" w:eastAsia="zh-CN"/>
        </w:rPr>
        <w:t>筹</w:t>
      </w:r>
      <w:r>
        <w:rPr>
          <w:rFonts w:hint="eastAsia" w:ascii="仿宋" w:hAnsi="仿宋" w:eastAsia="仿宋" w:cs="Tahoma"/>
          <w:color w:val="000000"/>
          <w:sz w:val="28"/>
          <w:szCs w:val="28"/>
          <w:lang w:eastAsia="zh-CN"/>
        </w:rPr>
        <w:t>）</w:t>
      </w:r>
    </w:p>
    <w:p w14:paraId="116D7418">
      <w:pPr>
        <w:pStyle w:val="4"/>
        <w:spacing w:before="0" w:beforeAutospacing="0" w:after="0" w:afterAutospacing="0" w:line="360" w:lineRule="auto"/>
        <w:rPr>
          <w:rFonts w:ascii="仿宋" w:hAnsi="仿宋" w:eastAsia="仿宋" w:cs="Tahoma"/>
          <w:color w:val="000000"/>
          <w:sz w:val="28"/>
          <w:szCs w:val="28"/>
        </w:rPr>
      </w:pPr>
      <w:r>
        <w:rPr>
          <w:rFonts w:hint="eastAsia" w:ascii="仿宋" w:hAnsi="仿宋" w:eastAsia="仿宋" w:cs="Tahoma"/>
          <w:color w:val="000000"/>
          <w:sz w:val="28"/>
          <w:szCs w:val="28"/>
        </w:rPr>
        <w:t>乙方：项目负责人</w:t>
      </w:r>
    </w:p>
    <w:p w14:paraId="6D6B8E80">
      <w:pPr>
        <w:pStyle w:val="4"/>
        <w:spacing w:before="0" w:beforeAutospacing="0" w:after="0" w:afterAutospacing="0" w:line="360" w:lineRule="auto"/>
        <w:ind w:firstLine="482"/>
        <w:jc w:val="both"/>
        <w:rPr>
          <w:rFonts w:ascii="仿宋" w:hAnsi="仿宋" w:eastAsia="仿宋" w:cs="Tahoma"/>
          <w:color w:val="000000"/>
          <w:sz w:val="28"/>
          <w:szCs w:val="28"/>
        </w:rPr>
      </w:pPr>
      <w:r>
        <w:rPr>
          <w:rFonts w:hint="eastAsia" w:ascii="仿宋" w:hAnsi="仿宋" w:eastAsia="仿宋" w:cs="Tahoma"/>
          <w:b/>
          <w:color w:val="000000"/>
          <w:sz w:val="28"/>
          <w:szCs w:val="28"/>
        </w:rPr>
        <w:t xml:space="preserve">第一条 </w:t>
      </w:r>
      <w:r>
        <w:rPr>
          <w:rFonts w:hint="eastAsia" w:ascii="仿宋" w:hAnsi="仿宋" w:eastAsia="仿宋" w:cs="Tahoma"/>
          <w:color w:val="000000"/>
          <w:sz w:val="28"/>
          <w:szCs w:val="28"/>
        </w:rPr>
        <w:t>开放课题执</w:t>
      </w:r>
      <w:r>
        <w:rPr>
          <w:rFonts w:hint="eastAsia" w:ascii="仿宋" w:hAnsi="仿宋" w:eastAsia="仿宋" w:cs="Tahoma"/>
          <w:color w:val="000000"/>
          <w:sz w:val="28"/>
          <w:szCs w:val="28"/>
          <w:highlight w:val="none"/>
        </w:rPr>
        <w:t>行期限为</w:t>
      </w:r>
      <w:r>
        <w:rPr>
          <w:rFonts w:hint="eastAsia" w:ascii="仿宋" w:hAnsi="仿宋" w:eastAsia="仿宋" w:cs="Tahoma"/>
          <w:color w:val="000000"/>
          <w:sz w:val="28"/>
          <w:szCs w:val="28"/>
          <w:highlight w:val="none"/>
          <w:lang w:val="en-US" w:eastAsia="zh-CN"/>
        </w:rPr>
        <w:t>2</w:t>
      </w:r>
      <w:r>
        <w:rPr>
          <w:rFonts w:hint="eastAsia" w:ascii="仿宋" w:hAnsi="仿宋" w:eastAsia="仿宋" w:cs="Tahoma"/>
          <w:color w:val="000000"/>
          <w:sz w:val="28"/>
          <w:szCs w:val="28"/>
          <w:highlight w:val="none"/>
        </w:rPr>
        <w:t>年(20</w:t>
      </w:r>
      <w:r>
        <w:rPr>
          <w:rFonts w:ascii="仿宋" w:hAnsi="仿宋" w:eastAsia="仿宋" w:cs="Tahoma"/>
          <w:color w:val="000000"/>
          <w:sz w:val="28"/>
          <w:szCs w:val="28"/>
          <w:highlight w:val="none"/>
        </w:rPr>
        <w:t>2</w:t>
      </w:r>
      <w:r>
        <w:rPr>
          <w:rFonts w:hint="eastAsia" w:ascii="仿宋" w:hAnsi="仿宋" w:eastAsia="仿宋" w:cs="Tahoma"/>
          <w:color w:val="000000"/>
          <w:sz w:val="28"/>
          <w:szCs w:val="28"/>
          <w:highlight w:val="none"/>
          <w:lang w:val="en-US" w:eastAsia="zh-CN"/>
        </w:rPr>
        <w:t>6</w:t>
      </w:r>
      <w:r>
        <w:rPr>
          <w:rFonts w:hint="eastAsia" w:ascii="仿宋" w:hAnsi="仿宋" w:eastAsia="仿宋" w:cs="Tahoma"/>
          <w:color w:val="000000"/>
          <w:sz w:val="28"/>
          <w:szCs w:val="28"/>
          <w:highlight w:val="none"/>
        </w:rPr>
        <w:t>年1月1日至202</w:t>
      </w:r>
      <w:r>
        <w:rPr>
          <w:rFonts w:hint="eastAsia" w:ascii="仿宋" w:hAnsi="仿宋" w:eastAsia="仿宋" w:cs="Tahoma"/>
          <w:color w:val="000000"/>
          <w:sz w:val="28"/>
          <w:szCs w:val="28"/>
          <w:highlight w:val="none"/>
          <w:lang w:val="en-US" w:eastAsia="zh-CN"/>
        </w:rPr>
        <w:t>7</w:t>
      </w:r>
      <w:r>
        <w:rPr>
          <w:rFonts w:hint="eastAsia" w:ascii="仿宋" w:hAnsi="仿宋" w:eastAsia="仿宋" w:cs="Tahoma"/>
          <w:color w:val="000000"/>
          <w:sz w:val="28"/>
          <w:szCs w:val="28"/>
          <w:highlight w:val="none"/>
        </w:rPr>
        <w:t>年12月31日)，</w:t>
      </w:r>
      <w:r>
        <w:rPr>
          <w:rFonts w:hint="eastAsia" w:ascii="仿宋" w:hAnsi="仿宋" w:eastAsia="仿宋" w:cs="Tahoma"/>
          <w:color w:val="000000"/>
          <w:sz w:val="28"/>
          <w:szCs w:val="28"/>
        </w:rPr>
        <w:t>到期不能达到结题要求者，甲方有权终止乙方该课题的执行，并取消乙方所在单位的所有人员以后申请本开放课题的资格。</w:t>
      </w:r>
    </w:p>
    <w:p w14:paraId="4E02A58F">
      <w:pPr>
        <w:pStyle w:val="4"/>
        <w:spacing w:before="0" w:beforeAutospacing="0" w:after="0" w:afterAutospacing="0" w:line="360" w:lineRule="auto"/>
        <w:ind w:firstLine="482"/>
        <w:jc w:val="both"/>
        <w:rPr>
          <w:rFonts w:ascii="仿宋" w:hAnsi="仿宋" w:eastAsia="仿宋" w:cs="Tahoma"/>
          <w:color w:val="000000"/>
          <w:sz w:val="28"/>
          <w:szCs w:val="28"/>
        </w:rPr>
      </w:pPr>
      <w:r>
        <w:rPr>
          <w:rFonts w:hint="eastAsia" w:ascii="仿宋" w:hAnsi="仿宋" w:eastAsia="仿宋" w:cs="Tahoma"/>
          <w:b/>
          <w:color w:val="000000"/>
          <w:sz w:val="28"/>
          <w:szCs w:val="28"/>
        </w:rPr>
        <w:t>第二条</w:t>
      </w:r>
      <w:r>
        <w:rPr>
          <w:rFonts w:hint="eastAsia" w:ascii="仿宋" w:hAnsi="仿宋" w:eastAsia="仿宋" w:cs="Tahoma"/>
          <w:color w:val="000000"/>
          <w:sz w:val="28"/>
          <w:szCs w:val="28"/>
        </w:rPr>
        <w:t xml:space="preserve"> </w:t>
      </w:r>
      <w:r>
        <w:rPr>
          <w:rStyle w:val="10"/>
          <w:rFonts w:ascii="Calibri" w:hAnsi="Calibri" w:eastAsia="仿宋" w:cs="Calibri"/>
          <w:color w:val="000000"/>
          <w:sz w:val="28"/>
          <w:szCs w:val="28"/>
        </w:rPr>
        <w:t> </w:t>
      </w:r>
      <w:r>
        <w:rPr>
          <w:rFonts w:hint="eastAsia" w:ascii="仿宋" w:hAnsi="仿宋" w:eastAsia="仿宋" w:cs="Tahoma"/>
          <w:color w:val="000000"/>
          <w:sz w:val="28"/>
          <w:szCs w:val="28"/>
        </w:rPr>
        <w:t>结题要求：乙方在研期间，须以通讯作者</w:t>
      </w:r>
      <w:r>
        <w:rPr>
          <w:rFonts w:hint="eastAsia" w:ascii="仿宋" w:hAnsi="仿宋" w:eastAsia="仿宋" w:cs="Tahoma"/>
          <w:color w:val="000000"/>
          <w:sz w:val="28"/>
          <w:szCs w:val="28"/>
          <w:lang w:val="en-US" w:eastAsia="zh-CN"/>
        </w:rPr>
        <w:t>或第一作者</w:t>
      </w:r>
      <w:r>
        <w:rPr>
          <w:rFonts w:hint="eastAsia" w:ascii="仿宋" w:hAnsi="仿宋" w:eastAsia="仿宋" w:cs="Tahoma"/>
          <w:color w:val="000000"/>
          <w:sz w:val="28"/>
          <w:szCs w:val="28"/>
        </w:rPr>
        <w:t>发表SCI收录期刊论文1篇及以上。英文期刊论文标明完成单位为“</w:t>
      </w:r>
      <w:r>
        <w:rPr>
          <w:rFonts w:hint="eastAsia" w:ascii="仿宋" w:hAnsi="仿宋" w:eastAsia="仿宋" w:cs="Tahom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 xml:space="preserve">Plastic Surgery Institute, Shandong Second Medical University, </w:t>
      </w:r>
      <w:r>
        <w:rPr>
          <w:rFonts w:hint="eastAsia" w:ascii="仿宋" w:hAnsi="仿宋" w:eastAsia="仿宋" w:cs="Tahoma"/>
          <w:color w:val="000000"/>
          <w:sz w:val="28"/>
          <w:szCs w:val="28"/>
        </w:rPr>
        <w:t>Shandong Provincial Key Laboratory for Tissue Regeneration and Repair &amp; Reconstruction (Under Preparation)</w:t>
      </w:r>
      <w:r>
        <w:rPr>
          <w:rFonts w:hint="eastAsia" w:ascii="仿宋" w:hAnsi="仿宋" w:eastAsia="仿宋" w:cs="Tahoma"/>
          <w:color w:val="000000"/>
          <w:sz w:val="28"/>
          <w:szCs w:val="28"/>
          <w:lang w:val="en-US" w:eastAsia="zh-CN"/>
        </w:rPr>
        <w:t xml:space="preserve">, </w:t>
      </w:r>
      <w:r>
        <w:rPr>
          <w:rFonts w:hint="eastAsia" w:ascii="仿宋" w:hAnsi="仿宋" w:eastAsia="仿宋" w:cs="Tahom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Weifang, Shandong 261053, PR China</w:t>
      </w:r>
      <w:r>
        <w:rPr>
          <w:rFonts w:hint="eastAsia" w:ascii="仿宋" w:hAnsi="仿宋" w:eastAsia="仿宋" w:cs="Tahoma"/>
          <w:color w:val="000000"/>
          <w:sz w:val="28"/>
          <w:szCs w:val="28"/>
        </w:rPr>
        <w:t>”。不能按期达到结题要求者，甲方有权终止课题、不再批准报销费用。</w:t>
      </w:r>
      <w:r>
        <w:rPr>
          <w:rFonts w:ascii="Calibri" w:hAnsi="Calibri" w:eastAsia="仿宋" w:cs="Calibri"/>
          <w:color w:val="000000"/>
          <w:sz w:val="28"/>
          <w:szCs w:val="28"/>
        </w:rPr>
        <w:t> </w:t>
      </w:r>
    </w:p>
    <w:p w14:paraId="7DCFBEC2">
      <w:pPr>
        <w:pStyle w:val="4"/>
        <w:spacing w:before="0" w:beforeAutospacing="0" w:after="0" w:afterAutospacing="0" w:line="360" w:lineRule="auto"/>
        <w:ind w:firstLine="482"/>
        <w:jc w:val="both"/>
        <w:rPr>
          <w:rFonts w:ascii="仿宋" w:hAnsi="仿宋" w:eastAsia="仿宋" w:cs="Tahoma"/>
          <w:color w:val="000000"/>
          <w:sz w:val="28"/>
          <w:szCs w:val="28"/>
        </w:rPr>
      </w:pPr>
      <w:r>
        <w:rPr>
          <w:rFonts w:hint="eastAsia" w:ascii="仿宋" w:hAnsi="仿宋" w:eastAsia="仿宋" w:cs="Tahoma"/>
          <w:b/>
          <w:color w:val="000000"/>
          <w:sz w:val="28"/>
          <w:szCs w:val="28"/>
        </w:rPr>
        <w:t>第</w:t>
      </w:r>
      <w:r>
        <w:rPr>
          <w:rFonts w:hint="eastAsia" w:ascii="仿宋" w:hAnsi="仿宋" w:eastAsia="仿宋" w:cs="Tahoma"/>
          <w:b/>
          <w:color w:val="000000"/>
          <w:sz w:val="28"/>
          <w:szCs w:val="28"/>
          <w:lang w:val="en-US" w:eastAsia="zh-CN"/>
        </w:rPr>
        <w:t>三</w:t>
      </w:r>
      <w:r>
        <w:rPr>
          <w:rFonts w:hint="eastAsia" w:ascii="仿宋" w:hAnsi="仿宋" w:eastAsia="仿宋" w:cs="Tahoma"/>
          <w:b/>
          <w:color w:val="000000"/>
          <w:sz w:val="28"/>
          <w:szCs w:val="28"/>
        </w:rPr>
        <w:t>条</w:t>
      </w:r>
      <w:r>
        <w:rPr>
          <w:rFonts w:hint="eastAsia" w:ascii="仿宋" w:hAnsi="仿宋" w:eastAsia="仿宋" w:cs="Tahoma"/>
          <w:color w:val="000000"/>
          <w:sz w:val="28"/>
          <w:szCs w:val="28"/>
        </w:rPr>
        <w:t xml:space="preserve"> 乙方应按照本计划任务书规定的内容、要求，按时完成计划进度，并于每年12月底前，向甲方报送计划执行情况年度报告。乙方不按时提交年度报告或未按时完成计划进度，甲方有权冻结拨款。</w:t>
      </w:r>
    </w:p>
    <w:p w14:paraId="4AD73AE2">
      <w:pPr>
        <w:pStyle w:val="4"/>
        <w:spacing w:before="0" w:beforeAutospacing="0" w:after="0" w:afterAutospacing="0" w:line="360" w:lineRule="auto"/>
        <w:ind w:firstLine="482"/>
        <w:jc w:val="both"/>
        <w:rPr>
          <w:rFonts w:ascii="仿宋" w:hAnsi="仿宋" w:eastAsia="仿宋" w:cs="Tahoma"/>
          <w:color w:val="000000"/>
          <w:sz w:val="28"/>
          <w:szCs w:val="28"/>
        </w:rPr>
      </w:pPr>
      <w:r>
        <w:rPr>
          <w:rFonts w:hint="eastAsia" w:ascii="仿宋" w:hAnsi="仿宋" w:eastAsia="仿宋" w:cs="Tahoma"/>
          <w:b/>
          <w:color w:val="000000"/>
          <w:sz w:val="28"/>
          <w:szCs w:val="28"/>
        </w:rPr>
        <w:t>第</w:t>
      </w:r>
      <w:r>
        <w:rPr>
          <w:rFonts w:hint="eastAsia" w:ascii="仿宋" w:hAnsi="仿宋" w:eastAsia="仿宋" w:cs="Tahoma"/>
          <w:b/>
          <w:color w:val="000000"/>
          <w:sz w:val="28"/>
          <w:szCs w:val="28"/>
          <w:lang w:val="en-US" w:eastAsia="zh-CN"/>
        </w:rPr>
        <w:t>四</w:t>
      </w:r>
      <w:r>
        <w:rPr>
          <w:rFonts w:hint="eastAsia" w:ascii="仿宋" w:hAnsi="仿宋" w:eastAsia="仿宋" w:cs="Tahoma"/>
          <w:b/>
          <w:color w:val="000000"/>
          <w:sz w:val="28"/>
          <w:szCs w:val="28"/>
        </w:rPr>
        <w:t>条</w:t>
      </w:r>
      <w:r>
        <w:rPr>
          <w:rStyle w:val="10"/>
          <w:rFonts w:ascii="Calibri" w:hAnsi="Calibri" w:eastAsia="仿宋" w:cs="Calibri"/>
          <w:color w:val="000000"/>
          <w:sz w:val="28"/>
          <w:szCs w:val="28"/>
        </w:rPr>
        <w:t> </w:t>
      </w:r>
      <w:r>
        <w:rPr>
          <w:rFonts w:hint="eastAsia" w:ascii="仿宋" w:hAnsi="仿宋" w:eastAsia="仿宋" w:cs="Tahoma"/>
          <w:color w:val="000000"/>
          <w:sz w:val="28"/>
          <w:szCs w:val="28"/>
        </w:rPr>
        <w:t>经费报销规定：甲方对课题执行进行监督、检查和指导，乙方报销经费须经</w:t>
      </w:r>
      <w:r>
        <w:rPr>
          <w:rFonts w:hint="eastAsia" w:ascii="仿宋" w:hAnsi="仿宋" w:eastAsia="仿宋" w:cs="Tahoma"/>
          <w:color w:val="000000"/>
          <w:sz w:val="28"/>
          <w:szCs w:val="28"/>
          <w:lang w:val="en-US" w:eastAsia="zh-CN"/>
        </w:rPr>
        <w:t>项目申请人</w:t>
      </w:r>
      <w:r>
        <w:rPr>
          <w:rFonts w:hint="eastAsia" w:ascii="仿宋" w:hAnsi="仿宋" w:eastAsia="仿宋" w:cs="Tahoma"/>
          <w:color w:val="000000"/>
          <w:sz w:val="28"/>
          <w:szCs w:val="28"/>
        </w:rPr>
        <w:t>同意签字后，方能报销。</w:t>
      </w:r>
    </w:p>
    <w:p w14:paraId="6D461C8B">
      <w:pPr>
        <w:pStyle w:val="4"/>
        <w:spacing w:before="0" w:beforeAutospacing="0" w:after="0" w:afterAutospacing="0" w:line="360" w:lineRule="auto"/>
        <w:ind w:firstLine="482"/>
        <w:jc w:val="both"/>
        <w:rPr>
          <w:rFonts w:ascii="仿宋" w:hAnsi="仿宋" w:eastAsia="仿宋" w:cs="Tahoma"/>
          <w:color w:val="000000"/>
          <w:sz w:val="28"/>
          <w:szCs w:val="28"/>
        </w:rPr>
      </w:pPr>
      <w:r>
        <w:rPr>
          <w:rFonts w:hint="eastAsia" w:ascii="仿宋" w:hAnsi="仿宋" w:eastAsia="仿宋" w:cs="Tahoma"/>
          <w:b/>
          <w:color w:val="000000"/>
          <w:sz w:val="28"/>
          <w:szCs w:val="28"/>
        </w:rPr>
        <w:t>第六条</w:t>
      </w:r>
      <w:r>
        <w:rPr>
          <w:rFonts w:hint="eastAsia" w:ascii="仿宋" w:hAnsi="仿宋" w:eastAsia="仿宋" w:cs="Tahoma"/>
          <w:color w:val="000000"/>
          <w:sz w:val="28"/>
          <w:szCs w:val="28"/>
        </w:rPr>
        <w:t xml:space="preserve"> 乙方如果不能按期结题，只可申请一次延期结题，最长期限壹年，并须向甲方提交书面延期结题申请书，详细说明原因，经甲方审核批准后，方能延期结题。</w:t>
      </w:r>
    </w:p>
    <w:p w14:paraId="3D4AA68D">
      <w:pPr>
        <w:pStyle w:val="4"/>
        <w:spacing w:before="0" w:beforeAutospacing="0" w:after="0" w:afterAutospacing="0" w:line="360" w:lineRule="auto"/>
        <w:ind w:firstLine="482"/>
        <w:jc w:val="both"/>
        <w:rPr>
          <w:rFonts w:ascii="仿宋" w:hAnsi="仿宋" w:eastAsia="仿宋" w:cs="Tahoma"/>
          <w:color w:val="000000"/>
          <w:sz w:val="28"/>
          <w:szCs w:val="28"/>
        </w:rPr>
      </w:pPr>
      <w:r>
        <w:rPr>
          <w:rFonts w:hint="eastAsia" w:ascii="仿宋" w:hAnsi="仿宋" w:eastAsia="仿宋" w:cs="Tahoma"/>
          <w:b/>
          <w:color w:val="000000"/>
          <w:sz w:val="28"/>
          <w:szCs w:val="28"/>
        </w:rPr>
        <w:t>第七条</w:t>
      </w:r>
      <w:r>
        <w:rPr>
          <w:rFonts w:hint="eastAsia" w:ascii="仿宋" w:hAnsi="仿宋" w:eastAsia="仿宋" w:cs="Tahoma"/>
          <w:color w:val="000000"/>
          <w:sz w:val="28"/>
          <w:szCs w:val="28"/>
        </w:rPr>
        <w:t xml:space="preserve"> 执行过程中，由于乙方原因造成经费超支者，甲方不再追加经费，超出部分由乙方自行解决，并保证使该项目能按计划完成。</w:t>
      </w:r>
    </w:p>
    <w:p w14:paraId="05482960">
      <w:pPr>
        <w:pStyle w:val="4"/>
        <w:spacing w:before="0" w:beforeAutospacing="0" w:after="0" w:afterAutospacing="0" w:line="360" w:lineRule="auto"/>
        <w:ind w:firstLine="482"/>
        <w:jc w:val="both"/>
        <w:rPr>
          <w:rFonts w:ascii="仿宋" w:hAnsi="仿宋" w:eastAsia="仿宋" w:cs="Tahoma"/>
          <w:color w:val="000000"/>
          <w:sz w:val="28"/>
          <w:szCs w:val="28"/>
        </w:rPr>
      </w:pPr>
      <w:r>
        <w:rPr>
          <w:rFonts w:hint="eastAsia" w:ascii="仿宋" w:hAnsi="仿宋" w:eastAsia="仿宋" w:cs="Tahoma"/>
          <w:b/>
          <w:color w:val="000000"/>
          <w:sz w:val="28"/>
          <w:szCs w:val="28"/>
        </w:rPr>
        <w:t>第八条</w:t>
      </w:r>
      <w:r>
        <w:rPr>
          <w:rFonts w:hint="eastAsia" w:ascii="仿宋" w:hAnsi="仿宋" w:eastAsia="仿宋" w:cs="Tahoma"/>
          <w:color w:val="000000"/>
          <w:sz w:val="28"/>
          <w:szCs w:val="28"/>
        </w:rPr>
        <w:t xml:space="preserve"> 上述开放课题规章解释权归</w:t>
      </w:r>
      <w:r>
        <w:rPr>
          <w:rFonts w:ascii="仿宋" w:hAnsi="仿宋" w:eastAsia="仿宋" w:cs="Tahoma"/>
          <w:color w:val="000000"/>
          <w:sz w:val="28"/>
          <w:szCs w:val="28"/>
        </w:rPr>
        <w:t>重点实验室</w:t>
      </w:r>
      <w:bookmarkStart w:id="0" w:name="_GoBack"/>
      <w:bookmarkEnd w:id="0"/>
      <w:r>
        <w:rPr>
          <w:rFonts w:hint="eastAsia" w:ascii="仿宋" w:hAnsi="仿宋" w:eastAsia="仿宋" w:cs="Tahoma"/>
          <w:color w:val="000000"/>
          <w:sz w:val="28"/>
          <w:szCs w:val="28"/>
        </w:rPr>
        <w:t>。</w:t>
      </w:r>
    </w:p>
    <w:p w14:paraId="4C7271A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F9E"/>
    <w:rsid w:val="001145EC"/>
    <w:rsid w:val="00116FE6"/>
    <w:rsid w:val="00332E9D"/>
    <w:rsid w:val="003E10C5"/>
    <w:rsid w:val="00743F87"/>
    <w:rsid w:val="00946F9E"/>
    <w:rsid w:val="00AC4A39"/>
    <w:rsid w:val="00D25A5E"/>
    <w:rsid w:val="00EF2902"/>
    <w:rsid w:val="0D812597"/>
    <w:rsid w:val="1DD525E1"/>
    <w:rsid w:val="31A326B7"/>
    <w:rsid w:val="4BE4719B"/>
    <w:rsid w:val="53852DC9"/>
    <w:rsid w:val="53C6775D"/>
    <w:rsid w:val="61945360"/>
    <w:rsid w:val="66EC7533"/>
    <w:rsid w:val="73383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8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sz w:val="18"/>
      <w:szCs w:val="18"/>
    </w:rPr>
  </w:style>
  <w:style w:type="character" w:customStyle="1" w:styleId="10">
    <w:name w:val="apple-converted-space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sdu</Company>
  <Pages>2</Pages>
  <Words>548</Words>
  <Characters>716</Characters>
  <Lines>6</Lines>
  <Paragraphs>1</Paragraphs>
  <TotalTime>96</TotalTime>
  <ScaleCrop>false</ScaleCrop>
  <LinksUpToDate>false</LinksUpToDate>
  <CharactersWithSpaces>749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2019-11-19T06:17:00Z</dcterms:created>
  <dc:creator>王艳</dc:creator>
  <cp:lastModifiedBy>ei</cp:lastModifiedBy>
  <cp:lastPrinted>2025-11-24T06:19:00Z</cp:lastPrinted>
  <dcterms:modified xsi:type="dcterms:W3CDTF">2025-11-26T07:39:11Z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eyJoZGlkIjoiZDU2Nzg3YWFiMzA0YWJlMDNkYTU5NjYyMzJjNjM5OGIiLCJ1c2VySWQiOiIyOTc4NDY5MTEifQ==</vt:lpwstr>
  </property>
  <property fmtid="{D5CDD505-2E9C-101B-9397-08002B2CF9AE}" pid="3" name="KSOProductBuildVer">
    <vt:lpwstr>2052-12.1.0.21541</vt:lpwstr>
  </property>
  <property fmtid="{D5CDD505-2E9C-101B-9397-08002B2CF9AE}" pid="4" name="ICV">
    <vt:lpwstr>1B072A1502CD4C63AE14CD58A48D7828_12</vt:lpwstr>
  </property>
</Properties>
</file>